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F876F" w14:textId="3940302F" w:rsidR="005F2304" w:rsidRPr="00566759" w:rsidRDefault="005F2304" w:rsidP="00566759">
      <w:pPr>
        <w:shd w:val="clear" w:color="auto" w:fill="538135" w:themeFill="accent6" w:themeFillShade="BF"/>
        <w:rPr>
          <w:b/>
          <w:bCs/>
          <w:color w:val="FFFFFF" w:themeColor="background1"/>
          <w:sz w:val="24"/>
          <w:szCs w:val="24"/>
          <w:u w:val="single"/>
        </w:rPr>
      </w:pPr>
      <w:r w:rsidRPr="00566759">
        <w:rPr>
          <w:b/>
          <w:bCs/>
          <w:color w:val="FFFFFF" w:themeColor="background1"/>
          <w:sz w:val="24"/>
          <w:szCs w:val="24"/>
          <w:u w:val="single"/>
        </w:rPr>
        <w:t xml:space="preserve">Coronavirus (COVID-19) catch-up premium </w:t>
      </w:r>
    </w:p>
    <w:p w14:paraId="7ABBDA0C" w14:textId="77777777" w:rsidR="005F2304" w:rsidRDefault="005F2304">
      <w:r>
        <w:t xml:space="preserve">The government COVID-19 catch-up premium has been established to mitigate the effects of the unique disruption caused by coronavirus. The grant will only be available for the 2020-2021 academic year. Schools should use this funding for specific activities to support pupils to catch up for lost teaching time over the previous months. To support schools to make the best use of the funding, the EEF has published a support guide: </w:t>
      </w:r>
    </w:p>
    <w:p w14:paraId="23A314A6" w14:textId="77777777" w:rsidR="005F2304" w:rsidRDefault="005F2304">
      <w:r>
        <w:t xml:space="preserve">https://educationendowmentfoundation.org.uk/covid-19-resources/covid-19-support-guide-for-schools/#nav-covid-19-supportguide-for-schools1 </w:t>
      </w:r>
    </w:p>
    <w:p w14:paraId="786ACC94" w14:textId="59FEEBA6" w:rsidR="00754DA3" w:rsidRDefault="005F2304">
      <w:r>
        <w:t>A summary of their best practice is as follows:</w:t>
      </w:r>
    </w:p>
    <w:tbl>
      <w:tblPr>
        <w:tblStyle w:val="TableGrid"/>
        <w:tblW w:w="0" w:type="auto"/>
        <w:jc w:val="center"/>
        <w:tblLook w:val="04A0" w:firstRow="1" w:lastRow="0" w:firstColumn="1" w:lastColumn="0" w:noHBand="0" w:noVBand="1"/>
      </w:tblPr>
      <w:tblGrid>
        <w:gridCol w:w="4508"/>
        <w:gridCol w:w="4508"/>
      </w:tblGrid>
      <w:tr w:rsidR="005F2304" w14:paraId="3AD64DE1" w14:textId="77777777" w:rsidTr="00566759">
        <w:trPr>
          <w:jc w:val="center"/>
        </w:trPr>
        <w:tc>
          <w:tcPr>
            <w:tcW w:w="4508" w:type="dxa"/>
            <w:shd w:val="clear" w:color="auto" w:fill="538135" w:themeFill="accent6" w:themeFillShade="BF"/>
          </w:tcPr>
          <w:p w14:paraId="1D1485BB" w14:textId="576314AA" w:rsidR="005F2304" w:rsidRPr="00566759" w:rsidRDefault="005F2304" w:rsidP="005F2304">
            <w:pPr>
              <w:rPr>
                <w:b/>
                <w:bCs/>
                <w:color w:val="FFFFFF" w:themeColor="background1"/>
              </w:rPr>
            </w:pPr>
            <w:r w:rsidRPr="00566759">
              <w:rPr>
                <w:b/>
                <w:bCs/>
                <w:color w:val="FFFFFF" w:themeColor="background1"/>
              </w:rPr>
              <w:t xml:space="preserve">Overall strategy area </w:t>
            </w:r>
          </w:p>
        </w:tc>
        <w:tc>
          <w:tcPr>
            <w:tcW w:w="4508" w:type="dxa"/>
            <w:shd w:val="clear" w:color="auto" w:fill="538135" w:themeFill="accent6" w:themeFillShade="BF"/>
          </w:tcPr>
          <w:p w14:paraId="7B5DBF1B" w14:textId="77777777" w:rsidR="005F2304" w:rsidRPr="00566759" w:rsidRDefault="005F2304">
            <w:pPr>
              <w:rPr>
                <w:b/>
                <w:bCs/>
                <w:color w:val="FFFFFF" w:themeColor="background1"/>
              </w:rPr>
            </w:pPr>
            <w:r w:rsidRPr="00566759">
              <w:rPr>
                <w:b/>
                <w:bCs/>
                <w:color w:val="FFFFFF" w:themeColor="background1"/>
              </w:rPr>
              <w:t>Specific strategies</w:t>
            </w:r>
          </w:p>
          <w:p w14:paraId="375B0B89" w14:textId="3C64A013" w:rsidR="00566759" w:rsidRPr="00566759" w:rsidRDefault="00566759">
            <w:pPr>
              <w:rPr>
                <w:b/>
                <w:bCs/>
                <w:color w:val="FFFFFF" w:themeColor="background1"/>
              </w:rPr>
            </w:pPr>
          </w:p>
        </w:tc>
      </w:tr>
      <w:tr w:rsidR="005F2304" w14:paraId="2FE4ABF5" w14:textId="77777777" w:rsidTr="00566759">
        <w:trPr>
          <w:jc w:val="center"/>
        </w:trPr>
        <w:tc>
          <w:tcPr>
            <w:tcW w:w="4508" w:type="dxa"/>
          </w:tcPr>
          <w:p w14:paraId="4A7672AD" w14:textId="1B42296B" w:rsidR="005F2304" w:rsidRDefault="005F2304">
            <w:r>
              <w:t>Teaching and whole-school strategies</w:t>
            </w:r>
          </w:p>
        </w:tc>
        <w:tc>
          <w:tcPr>
            <w:tcW w:w="4508" w:type="dxa"/>
          </w:tcPr>
          <w:p w14:paraId="5F3AE1FE" w14:textId="77777777" w:rsidR="005F2304" w:rsidRDefault="005F2304">
            <w:r>
              <w:t xml:space="preserve">Supporting great teaching </w:t>
            </w:r>
          </w:p>
          <w:p w14:paraId="27BDCB0C" w14:textId="77777777" w:rsidR="005F2304" w:rsidRDefault="005F2304">
            <w:r>
              <w:t xml:space="preserve">Pupil assessment and feedback </w:t>
            </w:r>
          </w:p>
          <w:p w14:paraId="3D1A2AB1" w14:textId="70FCA7C9" w:rsidR="005F2304" w:rsidRDefault="005F2304">
            <w:r>
              <w:t>Transition support</w:t>
            </w:r>
          </w:p>
        </w:tc>
      </w:tr>
      <w:tr w:rsidR="005F2304" w14:paraId="680990DD" w14:textId="77777777" w:rsidTr="00566759">
        <w:trPr>
          <w:jc w:val="center"/>
        </w:trPr>
        <w:tc>
          <w:tcPr>
            <w:tcW w:w="4508" w:type="dxa"/>
          </w:tcPr>
          <w:p w14:paraId="72A59FCE" w14:textId="5A63AA5C" w:rsidR="005F2304" w:rsidRDefault="005F2304">
            <w:r>
              <w:t>Targeted approaches</w:t>
            </w:r>
          </w:p>
        </w:tc>
        <w:tc>
          <w:tcPr>
            <w:tcW w:w="4508" w:type="dxa"/>
          </w:tcPr>
          <w:p w14:paraId="6BE7DEE7" w14:textId="77777777" w:rsidR="005F2304" w:rsidRDefault="005F2304">
            <w:r>
              <w:t xml:space="preserve">One to one and small group tuition </w:t>
            </w:r>
          </w:p>
          <w:p w14:paraId="16C24B37" w14:textId="77777777" w:rsidR="005F2304" w:rsidRDefault="005F2304">
            <w:r>
              <w:t xml:space="preserve">Intervention programmes </w:t>
            </w:r>
          </w:p>
          <w:p w14:paraId="56F09ED1" w14:textId="395F440C" w:rsidR="005F2304" w:rsidRDefault="005F2304">
            <w:r>
              <w:t>Extended school time</w:t>
            </w:r>
          </w:p>
        </w:tc>
      </w:tr>
      <w:tr w:rsidR="005F2304" w14:paraId="27B0B495" w14:textId="77777777" w:rsidTr="00566759">
        <w:trPr>
          <w:jc w:val="center"/>
        </w:trPr>
        <w:tc>
          <w:tcPr>
            <w:tcW w:w="4508" w:type="dxa"/>
          </w:tcPr>
          <w:p w14:paraId="05367200" w14:textId="2C4FB7DE" w:rsidR="005F2304" w:rsidRDefault="005F2304">
            <w:r>
              <w:t>Wider strategies</w:t>
            </w:r>
          </w:p>
        </w:tc>
        <w:tc>
          <w:tcPr>
            <w:tcW w:w="4508" w:type="dxa"/>
          </w:tcPr>
          <w:p w14:paraId="0E4BE880" w14:textId="77777777" w:rsidR="005F2304" w:rsidRDefault="005F2304">
            <w:r>
              <w:t xml:space="preserve">Supporting parents and carers </w:t>
            </w:r>
          </w:p>
          <w:p w14:paraId="0CFCEE46" w14:textId="77777777" w:rsidR="005F2304" w:rsidRDefault="005F2304">
            <w:r>
              <w:t xml:space="preserve">Access to technology </w:t>
            </w:r>
          </w:p>
          <w:p w14:paraId="14C0134A" w14:textId="11232988" w:rsidR="005F2304" w:rsidRDefault="005F2304">
            <w:r>
              <w:t>Summer support</w:t>
            </w:r>
          </w:p>
        </w:tc>
      </w:tr>
    </w:tbl>
    <w:p w14:paraId="56659E9C" w14:textId="1382A070" w:rsidR="005F2304" w:rsidRDefault="005F2304"/>
    <w:p w14:paraId="1551B365" w14:textId="1321BF0B" w:rsidR="005F2304" w:rsidRDefault="005F2304">
      <w:r>
        <w:t>As with all government funding, school leaders and governors must be able to account for how the money is being used. Therefore</w:t>
      </w:r>
      <w:r w:rsidR="00566759">
        <w:t>,</w:t>
      </w:r>
      <w:r>
        <w:t xml:space="preserve"> the impact and spending strategy for this catch-up premium will be reviewed </w:t>
      </w:r>
      <w:r w:rsidR="00566759">
        <w:t>thr</w:t>
      </w:r>
      <w:r>
        <w:t>oughout the 2020-2021 academic year</w:t>
      </w:r>
      <w:r w:rsidR="00566759">
        <w:t>, at each Teaching and Learning Committee meeting</w:t>
      </w:r>
      <w:r>
        <w:t>. When Ofsted re-commence routine inspections, they will make judgements about the quality of education being provided which will include how you are using the funding to ensure the curriculum has a positive impact on all pupils.</w:t>
      </w:r>
    </w:p>
    <w:p w14:paraId="1FE23E8F" w14:textId="16FAA087" w:rsidR="005F2304" w:rsidRDefault="005F2304" w:rsidP="005F2304"/>
    <w:p w14:paraId="27ED0D79" w14:textId="4C2A97CC" w:rsidR="00BA78E6" w:rsidRDefault="00BA78E6" w:rsidP="005F2304"/>
    <w:p w14:paraId="190E59D5" w14:textId="10AAB9DA" w:rsidR="00BA78E6" w:rsidRDefault="00BA78E6" w:rsidP="005F2304"/>
    <w:p w14:paraId="00A8A429" w14:textId="77777777" w:rsidR="00566759" w:rsidRDefault="00566759" w:rsidP="005F2304"/>
    <w:p w14:paraId="4808E51D" w14:textId="77777777" w:rsidR="00BA78E6" w:rsidRDefault="00BA78E6" w:rsidP="005F2304"/>
    <w:p w14:paraId="0775CE80" w14:textId="60AE62B4" w:rsidR="004D03E7" w:rsidRPr="00566759" w:rsidRDefault="004D03E7" w:rsidP="00566759">
      <w:pPr>
        <w:shd w:val="clear" w:color="auto" w:fill="538135" w:themeFill="accent6" w:themeFillShade="BF"/>
        <w:rPr>
          <w:b/>
          <w:bCs/>
          <w:color w:val="FFFFFF" w:themeColor="background1"/>
          <w:sz w:val="24"/>
          <w:szCs w:val="24"/>
          <w:u w:val="single"/>
        </w:rPr>
      </w:pPr>
      <w:r w:rsidRPr="00566759">
        <w:rPr>
          <w:b/>
          <w:bCs/>
          <w:color w:val="FFFFFF" w:themeColor="background1"/>
          <w:sz w:val="24"/>
          <w:szCs w:val="24"/>
          <w:u w:val="single"/>
        </w:rPr>
        <w:t>Coronavirus (COVID-19) catch-up premium strategy outline</w:t>
      </w:r>
    </w:p>
    <w:p w14:paraId="1D0D7ADF" w14:textId="77777777" w:rsidR="00566759" w:rsidRPr="00566759" w:rsidRDefault="00566759" w:rsidP="005F2304">
      <w:pPr>
        <w:rPr>
          <w:b/>
          <w:bCs/>
          <w:u w:val="single"/>
        </w:rPr>
      </w:pPr>
    </w:p>
    <w:tbl>
      <w:tblPr>
        <w:tblStyle w:val="TableGrid"/>
        <w:tblW w:w="0" w:type="auto"/>
        <w:tblLook w:val="04A0" w:firstRow="1" w:lastRow="0" w:firstColumn="1" w:lastColumn="0" w:noHBand="0" w:noVBand="1"/>
      </w:tblPr>
      <w:tblGrid>
        <w:gridCol w:w="6974"/>
        <w:gridCol w:w="6974"/>
      </w:tblGrid>
      <w:tr w:rsidR="004D03E7" w14:paraId="3FC46AA5" w14:textId="77777777" w:rsidTr="00566759">
        <w:tc>
          <w:tcPr>
            <w:tcW w:w="6974" w:type="dxa"/>
            <w:shd w:val="clear" w:color="auto" w:fill="538135" w:themeFill="accent6" w:themeFillShade="BF"/>
          </w:tcPr>
          <w:p w14:paraId="561A66D2" w14:textId="2F11A8BB" w:rsidR="004D03E7" w:rsidRPr="00566759" w:rsidRDefault="004D03E7" w:rsidP="005F2304">
            <w:pPr>
              <w:rPr>
                <w:b/>
                <w:bCs/>
                <w:color w:val="FFFFFF" w:themeColor="background1"/>
              </w:rPr>
            </w:pPr>
            <w:r w:rsidRPr="00566759">
              <w:rPr>
                <w:b/>
                <w:bCs/>
                <w:color w:val="FFFFFF" w:themeColor="background1"/>
              </w:rPr>
              <w:t>School Name:</w:t>
            </w:r>
          </w:p>
        </w:tc>
        <w:tc>
          <w:tcPr>
            <w:tcW w:w="6974" w:type="dxa"/>
          </w:tcPr>
          <w:p w14:paraId="4DE75C15" w14:textId="29C480E4" w:rsidR="004D03E7" w:rsidRDefault="004D03E7" w:rsidP="005F2304">
            <w:r>
              <w:t>Eccleston Mere Primary School</w:t>
            </w:r>
          </w:p>
        </w:tc>
      </w:tr>
      <w:tr w:rsidR="004D03E7" w14:paraId="1899A2DE" w14:textId="77777777" w:rsidTr="00566759">
        <w:tc>
          <w:tcPr>
            <w:tcW w:w="6974" w:type="dxa"/>
            <w:shd w:val="clear" w:color="auto" w:fill="538135" w:themeFill="accent6" w:themeFillShade="BF"/>
          </w:tcPr>
          <w:p w14:paraId="6D3C0DB0" w14:textId="4455124D" w:rsidR="004D03E7" w:rsidRPr="00566759" w:rsidRDefault="004D03E7" w:rsidP="005F2304">
            <w:pPr>
              <w:rPr>
                <w:b/>
                <w:bCs/>
                <w:color w:val="FFFFFF" w:themeColor="background1"/>
              </w:rPr>
            </w:pPr>
            <w:r w:rsidRPr="00566759">
              <w:rPr>
                <w:b/>
                <w:bCs/>
                <w:color w:val="FFFFFF" w:themeColor="background1"/>
              </w:rPr>
              <w:t>Headteacher / Chair of Governors</w:t>
            </w:r>
          </w:p>
        </w:tc>
        <w:tc>
          <w:tcPr>
            <w:tcW w:w="6974" w:type="dxa"/>
          </w:tcPr>
          <w:p w14:paraId="33E5F94C" w14:textId="5392C628" w:rsidR="004D03E7" w:rsidRDefault="004D03E7" w:rsidP="005F2304">
            <w:r>
              <w:t>Mr Ryan Mugan / Mrs Vicky Atherton</w:t>
            </w:r>
          </w:p>
        </w:tc>
      </w:tr>
      <w:tr w:rsidR="004D03E7" w14:paraId="2F5F65AC" w14:textId="77777777" w:rsidTr="00566759">
        <w:tc>
          <w:tcPr>
            <w:tcW w:w="6974" w:type="dxa"/>
            <w:shd w:val="clear" w:color="auto" w:fill="538135" w:themeFill="accent6" w:themeFillShade="BF"/>
          </w:tcPr>
          <w:p w14:paraId="5909D259" w14:textId="249ABD95" w:rsidR="004D03E7" w:rsidRPr="00566759" w:rsidRDefault="004D03E7" w:rsidP="005F2304">
            <w:pPr>
              <w:rPr>
                <w:b/>
                <w:bCs/>
                <w:color w:val="FFFFFF" w:themeColor="background1"/>
              </w:rPr>
            </w:pPr>
            <w:r w:rsidRPr="00566759">
              <w:rPr>
                <w:b/>
                <w:bCs/>
                <w:color w:val="FFFFFF" w:themeColor="background1"/>
              </w:rPr>
              <w:t>Amount of COVID-19 Catch Up Premium Allocated (some to be allocated)</w:t>
            </w:r>
          </w:p>
        </w:tc>
        <w:tc>
          <w:tcPr>
            <w:tcW w:w="6974" w:type="dxa"/>
          </w:tcPr>
          <w:p w14:paraId="008A0FEB" w14:textId="6089BAEC" w:rsidR="004D03E7" w:rsidRDefault="00D51547" w:rsidP="005F2304">
            <w:r>
              <w:t>£21,333 (2020-21 financial year, allocated Nov ’20)</w:t>
            </w:r>
          </w:p>
          <w:p w14:paraId="68D786E8" w14:textId="15318272" w:rsidR="00D51547" w:rsidRDefault="00D51547" w:rsidP="005F2304">
            <w:r>
              <w:t>£10,667 (2021-22 financial year)</w:t>
            </w:r>
          </w:p>
        </w:tc>
      </w:tr>
    </w:tbl>
    <w:p w14:paraId="389959CB" w14:textId="5F67CA27" w:rsidR="004D03E7" w:rsidRDefault="004D03E7" w:rsidP="005F2304"/>
    <w:tbl>
      <w:tblPr>
        <w:tblStyle w:val="TableGrid"/>
        <w:tblW w:w="0" w:type="auto"/>
        <w:tblLook w:val="04A0" w:firstRow="1" w:lastRow="0" w:firstColumn="1" w:lastColumn="0" w:noHBand="0" w:noVBand="1"/>
      </w:tblPr>
      <w:tblGrid>
        <w:gridCol w:w="2789"/>
        <w:gridCol w:w="2789"/>
        <w:gridCol w:w="2790"/>
        <w:gridCol w:w="2790"/>
        <w:gridCol w:w="2790"/>
      </w:tblGrid>
      <w:tr w:rsidR="004D03E7" w14:paraId="607CF199" w14:textId="77777777" w:rsidTr="00566759">
        <w:tc>
          <w:tcPr>
            <w:tcW w:w="2789" w:type="dxa"/>
            <w:shd w:val="clear" w:color="auto" w:fill="538135" w:themeFill="accent6" w:themeFillShade="BF"/>
          </w:tcPr>
          <w:p w14:paraId="533AA5E4" w14:textId="48094501" w:rsidR="004D03E7" w:rsidRPr="00566759" w:rsidRDefault="004D03E7" w:rsidP="005F2304">
            <w:pPr>
              <w:rPr>
                <w:b/>
                <w:bCs/>
                <w:color w:val="FFFFFF" w:themeColor="background1"/>
              </w:rPr>
            </w:pPr>
            <w:r w:rsidRPr="00566759">
              <w:rPr>
                <w:b/>
                <w:bCs/>
                <w:color w:val="FFFFFF" w:themeColor="background1"/>
              </w:rPr>
              <w:t>Chosen action / approach</w:t>
            </w:r>
          </w:p>
        </w:tc>
        <w:tc>
          <w:tcPr>
            <w:tcW w:w="2789" w:type="dxa"/>
            <w:shd w:val="clear" w:color="auto" w:fill="538135" w:themeFill="accent6" w:themeFillShade="BF"/>
          </w:tcPr>
          <w:p w14:paraId="0BFAF9CB" w14:textId="20AD35C5" w:rsidR="004D03E7" w:rsidRPr="00566759" w:rsidRDefault="004D03E7" w:rsidP="005F2304">
            <w:pPr>
              <w:rPr>
                <w:b/>
                <w:bCs/>
                <w:color w:val="FFFFFF" w:themeColor="background1"/>
              </w:rPr>
            </w:pPr>
            <w:r w:rsidRPr="00566759">
              <w:rPr>
                <w:b/>
                <w:bCs/>
                <w:color w:val="FFFFFF" w:themeColor="background1"/>
              </w:rPr>
              <w:t>Success Criteria</w:t>
            </w:r>
          </w:p>
        </w:tc>
        <w:tc>
          <w:tcPr>
            <w:tcW w:w="2790" w:type="dxa"/>
            <w:shd w:val="clear" w:color="auto" w:fill="538135" w:themeFill="accent6" w:themeFillShade="BF"/>
          </w:tcPr>
          <w:p w14:paraId="364D8BAE" w14:textId="5846EDCF" w:rsidR="004D03E7" w:rsidRPr="00566759" w:rsidRDefault="004D03E7" w:rsidP="005F2304">
            <w:pPr>
              <w:rPr>
                <w:b/>
                <w:bCs/>
                <w:color w:val="FFFFFF" w:themeColor="background1"/>
              </w:rPr>
            </w:pPr>
            <w:r w:rsidRPr="00566759">
              <w:rPr>
                <w:b/>
                <w:bCs/>
                <w:color w:val="FFFFFF" w:themeColor="background1"/>
              </w:rPr>
              <w:t>What is the evidence and rationale for this choice?</w:t>
            </w:r>
          </w:p>
        </w:tc>
        <w:tc>
          <w:tcPr>
            <w:tcW w:w="2790" w:type="dxa"/>
            <w:shd w:val="clear" w:color="auto" w:fill="538135" w:themeFill="accent6" w:themeFillShade="BF"/>
          </w:tcPr>
          <w:p w14:paraId="59CD8498" w14:textId="77777777" w:rsidR="004D03E7" w:rsidRDefault="004D03E7" w:rsidP="005F2304">
            <w:pPr>
              <w:rPr>
                <w:b/>
                <w:bCs/>
                <w:color w:val="FFFFFF" w:themeColor="background1"/>
              </w:rPr>
            </w:pPr>
            <w:r w:rsidRPr="00566759">
              <w:rPr>
                <w:b/>
                <w:bCs/>
                <w:color w:val="FFFFFF" w:themeColor="background1"/>
              </w:rPr>
              <w:t>Resources / Cost</w:t>
            </w:r>
            <w:r w:rsidR="00E168EA" w:rsidRPr="00566759">
              <w:rPr>
                <w:b/>
                <w:bCs/>
                <w:color w:val="FFFFFF" w:themeColor="background1"/>
              </w:rPr>
              <w:t xml:space="preserve"> and Training</w:t>
            </w:r>
          </w:p>
          <w:p w14:paraId="57F46F1F" w14:textId="325DF6B0" w:rsidR="00566759" w:rsidRPr="00566759" w:rsidRDefault="00566759" w:rsidP="005F2304">
            <w:pPr>
              <w:rPr>
                <w:b/>
                <w:bCs/>
                <w:color w:val="FFFFFF" w:themeColor="background1"/>
              </w:rPr>
            </w:pPr>
          </w:p>
        </w:tc>
        <w:tc>
          <w:tcPr>
            <w:tcW w:w="2790" w:type="dxa"/>
            <w:shd w:val="clear" w:color="auto" w:fill="538135" w:themeFill="accent6" w:themeFillShade="BF"/>
          </w:tcPr>
          <w:p w14:paraId="0FEB721B" w14:textId="77777777" w:rsidR="004D03E7" w:rsidRDefault="004D03E7" w:rsidP="005F2304">
            <w:pPr>
              <w:rPr>
                <w:b/>
                <w:bCs/>
                <w:color w:val="FFFFFF" w:themeColor="background1"/>
              </w:rPr>
            </w:pPr>
            <w:r w:rsidRPr="00566759">
              <w:rPr>
                <w:b/>
                <w:bCs/>
                <w:color w:val="FFFFFF" w:themeColor="background1"/>
              </w:rPr>
              <w:t>Impact (Evaluation)</w:t>
            </w:r>
          </w:p>
          <w:p w14:paraId="4F7C10F2" w14:textId="77777777" w:rsidR="00D51547" w:rsidRDefault="00D51547" w:rsidP="005F2304">
            <w:pPr>
              <w:rPr>
                <w:b/>
                <w:bCs/>
                <w:color w:val="FFFFFF" w:themeColor="background1"/>
              </w:rPr>
            </w:pPr>
          </w:p>
          <w:p w14:paraId="51DE64D0" w14:textId="77777777" w:rsidR="00D51547" w:rsidRDefault="00D51547" w:rsidP="005F2304">
            <w:pPr>
              <w:rPr>
                <w:b/>
                <w:bCs/>
                <w:color w:val="FFFFFF" w:themeColor="background1"/>
              </w:rPr>
            </w:pPr>
            <w:r>
              <w:rPr>
                <w:b/>
                <w:bCs/>
                <w:color w:val="FFFFFF" w:themeColor="background1"/>
              </w:rPr>
              <w:t xml:space="preserve">Review – </w:t>
            </w:r>
            <w:bookmarkStart w:id="0" w:name="_GoBack"/>
            <w:bookmarkEnd w:id="0"/>
          </w:p>
          <w:p w14:paraId="5757DB17" w14:textId="510CDCF2" w:rsidR="00D51547" w:rsidRPr="00566759" w:rsidRDefault="00D51547" w:rsidP="005F2304">
            <w:pPr>
              <w:rPr>
                <w:b/>
                <w:bCs/>
                <w:color w:val="FFFFFF" w:themeColor="background1"/>
              </w:rPr>
            </w:pPr>
            <w:r>
              <w:rPr>
                <w:b/>
                <w:bCs/>
                <w:color w:val="FFFFFF" w:themeColor="background1"/>
              </w:rPr>
              <w:t xml:space="preserve">April, July, December </w:t>
            </w:r>
          </w:p>
        </w:tc>
      </w:tr>
      <w:tr w:rsidR="007710D9" w14:paraId="04537E51" w14:textId="77777777" w:rsidTr="007710D9">
        <w:trPr>
          <w:trHeight w:val="1815"/>
        </w:trPr>
        <w:tc>
          <w:tcPr>
            <w:tcW w:w="2789" w:type="dxa"/>
            <w:vMerge w:val="restart"/>
          </w:tcPr>
          <w:p w14:paraId="344D582B" w14:textId="5E6285D6" w:rsidR="007710D9" w:rsidRDefault="007710D9" w:rsidP="005F2304">
            <w:r>
              <w:t xml:space="preserve">Frequent low stakes testing to improve pupil assessment and feedback.  </w:t>
            </w:r>
          </w:p>
        </w:tc>
        <w:tc>
          <w:tcPr>
            <w:tcW w:w="2789" w:type="dxa"/>
            <w:vMerge w:val="restart"/>
          </w:tcPr>
          <w:p w14:paraId="6BD8F747" w14:textId="77777777" w:rsidR="007710D9" w:rsidRDefault="007710D9" w:rsidP="005F2304">
            <w:r>
              <w:t>-Assessment of ‘gaps in learning’ to be completed in Autumn 1,</w:t>
            </w:r>
          </w:p>
          <w:p w14:paraId="4CA287F8" w14:textId="77777777" w:rsidR="007710D9" w:rsidRDefault="007710D9" w:rsidP="005F2304">
            <w:r>
              <w:t>-Earlier assessment and pupil progress meeting to form individualised ‘catch-up strategies in November.</w:t>
            </w:r>
          </w:p>
          <w:p w14:paraId="46A5B1AE" w14:textId="77777777" w:rsidR="007710D9" w:rsidRDefault="007710D9" w:rsidP="005F2304">
            <w:r>
              <w:t>-Use of new FFT curriculum tracker to ensure that assessment data is ‘point in time’ and more frequently updated.</w:t>
            </w:r>
          </w:p>
          <w:p w14:paraId="163C3E71" w14:textId="49B883D0" w:rsidR="007710D9" w:rsidRDefault="007710D9" w:rsidP="005F2304"/>
        </w:tc>
        <w:tc>
          <w:tcPr>
            <w:tcW w:w="2790" w:type="dxa"/>
            <w:vMerge w:val="restart"/>
          </w:tcPr>
          <w:p w14:paraId="0A0BD56E" w14:textId="79C37AE1" w:rsidR="007710D9" w:rsidRPr="00566759" w:rsidRDefault="007710D9" w:rsidP="005F2304">
            <w:pPr>
              <w:rPr>
                <w:b/>
                <w:bCs/>
              </w:rPr>
            </w:pPr>
            <w:r w:rsidRPr="00566759">
              <w:rPr>
                <w:b/>
                <w:bCs/>
              </w:rPr>
              <w:t>- EEF (Effective Diagnostic Assessment)</w:t>
            </w:r>
          </w:p>
          <w:p w14:paraId="20344035" w14:textId="0E6D8C03" w:rsidR="007710D9" w:rsidRPr="00EB51EE" w:rsidRDefault="007710D9" w:rsidP="005F2304">
            <w:pPr>
              <w:rPr>
                <w:i/>
                <w:iCs/>
              </w:rPr>
            </w:pPr>
            <w:r>
              <w:rPr>
                <w:i/>
                <w:iCs/>
              </w:rPr>
              <w:t>‘</w:t>
            </w:r>
            <w:r w:rsidRPr="00EB51EE">
              <w:rPr>
                <w:i/>
                <w:iCs/>
              </w:rPr>
              <w:t>Planning effective assessment is integral to supporting great teaching. Schools will have to deploy their own assessment approaches to sensitively diagnose the actual impact that Covid-19 school closures may have had on their pupils</w:t>
            </w:r>
            <w:r>
              <w:rPr>
                <w:i/>
                <w:iCs/>
              </w:rPr>
              <w:t>’</w:t>
            </w:r>
            <w:r w:rsidRPr="00EB51EE">
              <w:rPr>
                <w:i/>
                <w:iCs/>
              </w:rPr>
              <w:t>.</w:t>
            </w:r>
          </w:p>
        </w:tc>
        <w:tc>
          <w:tcPr>
            <w:tcW w:w="2790" w:type="dxa"/>
          </w:tcPr>
          <w:p w14:paraId="2DC66276" w14:textId="58ABBC31" w:rsidR="007710D9" w:rsidRDefault="007710D9" w:rsidP="005F2304">
            <w:r>
              <w:t>NFER Tests</w:t>
            </w:r>
          </w:p>
          <w:p w14:paraId="4F5F77B8" w14:textId="4092F871" w:rsidR="007710D9" w:rsidRDefault="007710D9" w:rsidP="005F2304">
            <w:r>
              <w:t>£3000</w:t>
            </w:r>
          </w:p>
          <w:p w14:paraId="7E67A6A5" w14:textId="77777777" w:rsidR="007710D9" w:rsidRDefault="007710D9" w:rsidP="005F2304"/>
          <w:p w14:paraId="36D20FC9" w14:textId="1DD28876" w:rsidR="007710D9" w:rsidRDefault="007710D9" w:rsidP="005F2304">
            <w:r>
              <w:t>FFT Aspire / Curriculum Tracker</w:t>
            </w:r>
          </w:p>
          <w:p w14:paraId="5ABCED5B" w14:textId="77777777" w:rsidR="007710D9" w:rsidRDefault="007710D9" w:rsidP="005F2304">
            <w:r>
              <w:t>£1000</w:t>
            </w:r>
          </w:p>
          <w:p w14:paraId="0F8FEBDA" w14:textId="68C93BF2" w:rsidR="007710D9" w:rsidRDefault="007710D9" w:rsidP="005F2304"/>
        </w:tc>
        <w:tc>
          <w:tcPr>
            <w:tcW w:w="2790" w:type="dxa"/>
            <w:vMerge w:val="restart"/>
          </w:tcPr>
          <w:p w14:paraId="1F57BF52" w14:textId="77777777" w:rsidR="007710D9" w:rsidRDefault="007710D9" w:rsidP="005F2304"/>
        </w:tc>
      </w:tr>
      <w:tr w:rsidR="007710D9" w14:paraId="5B5B85E6" w14:textId="77777777" w:rsidTr="004D03E7">
        <w:trPr>
          <w:trHeight w:val="1950"/>
        </w:trPr>
        <w:tc>
          <w:tcPr>
            <w:tcW w:w="2789" w:type="dxa"/>
            <w:vMerge/>
          </w:tcPr>
          <w:p w14:paraId="38D10E8C" w14:textId="77777777" w:rsidR="007710D9" w:rsidRDefault="007710D9" w:rsidP="005F2304"/>
        </w:tc>
        <w:tc>
          <w:tcPr>
            <w:tcW w:w="2789" w:type="dxa"/>
            <w:vMerge/>
          </w:tcPr>
          <w:p w14:paraId="4727E53B" w14:textId="77777777" w:rsidR="007710D9" w:rsidRDefault="007710D9" w:rsidP="005F2304"/>
        </w:tc>
        <w:tc>
          <w:tcPr>
            <w:tcW w:w="2790" w:type="dxa"/>
            <w:vMerge/>
          </w:tcPr>
          <w:p w14:paraId="6091D023" w14:textId="77777777" w:rsidR="007710D9" w:rsidRDefault="007710D9" w:rsidP="005F2304"/>
        </w:tc>
        <w:tc>
          <w:tcPr>
            <w:tcW w:w="2790" w:type="dxa"/>
          </w:tcPr>
          <w:p w14:paraId="17211C7D" w14:textId="0DCDE1F3" w:rsidR="007710D9" w:rsidRDefault="007710D9" w:rsidP="005F2304">
            <w:r>
              <w:t xml:space="preserve">NFER Training – </w:t>
            </w:r>
          </w:p>
          <w:p w14:paraId="6C4E9D35" w14:textId="77777777" w:rsidR="007710D9" w:rsidRDefault="007710D9" w:rsidP="005F2304">
            <w:r>
              <w:t>Assessment Lead</w:t>
            </w:r>
          </w:p>
          <w:p w14:paraId="1EF1E421" w14:textId="77777777" w:rsidR="007710D9" w:rsidRDefault="007710D9" w:rsidP="005F2304"/>
          <w:p w14:paraId="40C992CA" w14:textId="77777777" w:rsidR="007710D9" w:rsidRDefault="007710D9" w:rsidP="005F2304">
            <w:r>
              <w:t>NFER Training-</w:t>
            </w:r>
          </w:p>
          <w:p w14:paraId="10113032" w14:textId="77777777" w:rsidR="007710D9" w:rsidRDefault="007710D9" w:rsidP="00E168EA">
            <w:pPr>
              <w:tabs>
                <w:tab w:val="left" w:pos="1545"/>
              </w:tabs>
            </w:pPr>
            <w:r>
              <w:t>Whole Staff (1hr 30)</w:t>
            </w:r>
          </w:p>
          <w:p w14:paraId="7E729559" w14:textId="77777777" w:rsidR="007710D9" w:rsidRDefault="007710D9" w:rsidP="005F2304">
            <w:r>
              <w:t>(INSET Day time)</w:t>
            </w:r>
          </w:p>
          <w:p w14:paraId="54EAC866" w14:textId="77777777" w:rsidR="007710D9" w:rsidRDefault="007710D9" w:rsidP="005F2304"/>
        </w:tc>
        <w:tc>
          <w:tcPr>
            <w:tcW w:w="2790" w:type="dxa"/>
            <w:vMerge/>
          </w:tcPr>
          <w:p w14:paraId="4E16CA4B" w14:textId="77777777" w:rsidR="007710D9" w:rsidRDefault="007710D9" w:rsidP="005F2304"/>
        </w:tc>
      </w:tr>
      <w:tr w:rsidR="007710D9" w14:paraId="5503ACD3" w14:textId="77777777" w:rsidTr="007710D9">
        <w:trPr>
          <w:trHeight w:val="1005"/>
        </w:trPr>
        <w:tc>
          <w:tcPr>
            <w:tcW w:w="2789" w:type="dxa"/>
            <w:vMerge w:val="restart"/>
          </w:tcPr>
          <w:p w14:paraId="7246A9FA" w14:textId="76021FDE" w:rsidR="007710D9" w:rsidRDefault="007710D9" w:rsidP="005F2304">
            <w:r>
              <w:t xml:space="preserve">Use of staff member to support home learning for children isolating, during </w:t>
            </w:r>
            <w:r>
              <w:lastRenderedPageBreak/>
              <w:t>Autumn Term (when others are in school).</w:t>
            </w:r>
          </w:p>
          <w:p w14:paraId="0478ADCA" w14:textId="24AFC5A6" w:rsidR="007710D9" w:rsidRDefault="007710D9" w:rsidP="005F2304"/>
          <w:p w14:paraId="063E2BAD" w14:textId="28A76D87" w:rsidR="007710D9" w:rsidRDefault="007710D9" w:rsidP="005F2304">
            <w:r>
              <w:t>*to be reviewed in other terms.</w:t>
            </w:r>
          </w:p>
          <w:p w14:paraId="12218E85" w14:textId="00024611" w:rsidR="007710D9" w:rsidRDefault="007710D9" w:rsidP="005F2304"/>
        </w:tc>
        <w:tc>
          <w:tcPr>
            <w:tcW w:w="2789" w:type="dxa"/>
            <w:vMerge w:val="restart"/>
          </w:tcPr>
          <w:p w14:paraId="0B41BEDA" w14:textId="77777777" w:rsidR="007710D9" w:rsidRDefault="007710D9" w:rsidP="005F2304">
            <w:r>
              <w:lastRenderedPageBreak/>
              <w:t>-Children who are isolating at home to be provided with appropriate work in Autumn Term.</w:t>
            </w:r>
          </w:p>
          <w:p w14:paraId="2C65346C" w14:textId="76417F2B" w:rsidR="007710D9" w:rsidRDefault="007710D9" w:rsidP="005F2304">
            <w:r>
              <w:lastRenderedPageBreak/>
              <w:t xml:space="preserve">-Children who are isolated are to be informed of a key contact </w:t>
            </w:r>
          </w:p>
        </w:tc>
        <w:tc>
          <w:tcPr>
            <w:tcW w:w="2790" w:type="dxa"/>
            <w:vMerge w:val="restart"/>
          </w:tcPr>
          <w:p w14:paraId="0154E618" w14:textId="77777777" w:rsidR="007710D9" w:rsidRPr="00566759" w:rsidRDefault="007710D9" w:rsidP="005F2304">
            <w:pPr>
              <w:rPr>
                <w:b/>
                <w:bCs/>
              </w:rPr>
            </w:pPr>
            <w:r w:rsidRPr="00566759">
              <w:rPr>
                <w:b/>
                <w:bCs/>
              </w:rPr>
              <w:lastRenderedPageBreak/>
              <w:t>- EEF (Supporting Remote Learning)</w:t>
            </w:r>
          </w:p>
          <w:p w14:paraId="4198DE3D" w14:textId="5B7E3BE2" w:rsidR="007710D9" w:rsidRPr="00E168EA" w:rsidRDefault="007710D9" w:rsidP="005F2304">
            <w:pPr>
              <w:rPr>
                <w:i/>
                <w:iCs/>
              </w:rPr>
            </w:pPr>
            <w:r>
              <w:rPr>
                <w:i/>
                <w:iCs/>
              </w:rPr>
              <w:t>‘</w:t>
            </w:r>
            <w:r w:rsidRPr="00E168EA">
              <w:rPr>
                <w:i/>
                <w:iCs/>
              </w:rPr>
              <w:t xml:space="preserve">School leaders will therefore have to plan for a range of </w:t>
            </w:r>
            <w:r w:rsidRPr="00E168EA">
              <w:rPr>
                <w:i/>
                <w:iCs/>
              </w:rPr>
              <w:lastRenderedPageBreak/>
              <w:t>eventualities that will likely involve high-quality remote learning. Focusing on high-quality remote learning will always be valuable for pupils</w:t>
            </w:r>
            <w:r>
              <w:rPr>
                <w:i/>
                <w:iCs/>
              </w:rPr>
              <w:t>’</w:t>
            </w:r>
            <w:r w:rsidRPr="00E168EA">
              <w:rPr>
                <w:i/>
                <w:iCs/>
              </w:rPr>
              <w:t>.</w:t>
            </w:r>
          </w:p>
        </w:tc>
        <w:tc>
          <w:tcPr>
            <w:tcW w:w="2790" w:type="dxa"/>
          </w:tcPr>
          <w:p w14:paraId="494D877F" w14:textId="77777777" w:rsidR="007710D9" w:rsidRDefault="007710D9" w:rsidP="005F2304">
            <w:r>
              <w:lastRenderedPageBreak/>
              <w:t>Associated supply costs to release staff.</w:t>
            </w:r>
          </w:p>
          <w:p w14:paraId="4E040D64" w14:textId="77777777" w:rsidR="007710D9" w:rsidRDefault="007710D9" w:rsidP="005F2304">
            <w:r>
              <w:t>£4000</w:t>
            </w:r>
          </w:p>
          <w:p w14:paraId="20929D2F" w14:textId="651AC6A7" w:rsidR="007710D9" w:rsidRDefault="007710D9" w:rsidP="005F2304"/>
        </w:tc>
        <w:tc>
          <w:tcPr>
            <w:tcW w:w="2790" w:type="dxa"/>
            <w:vMerge w:val="restart"/>
          </w:tcPr>
          <w:p w14:paraId="33A4D171" w14:textId="77777777" w:rsidR="007710D9" w:rsidRDefault="007710D9" w:rsidP="005F2304"/>
        </w:tc>
      </w:tr>
      <w:tr w:rsidR="007710D9" w14:paraId="23BF9CFA" w14:textId="77777777" w:rsidTr="004D03E7">
        <w:trPr>
          <w:trHeight w:val="1680"/>
        </w:trPr>
        <w:tc>
          <w:tcPr>
            <w:tcW w:w="2789" w:type="dxa"/>
            <w:vMerge/>
          </w:tcPr>
          <w:p w14:paraId="0684A6AC" w14:textId="77777777" w:rsidR="007710D9" w:rsidRDefault="007710D9" w:rsidP="005F2304"/>
        </w:tc>
        <w:tc>
          <w:tcPr>
            <w:tcW w:w="2789" w:type="dxa"/>
            <w:vMerge/>
          </w:tcPr>
          <w:p w14:paraId="29FACA49" w14:textId="77777777" w:rsidR="007710D9" w:rsidRDefault="007710D9" w:rsidP="005F2304"/>
        </w:tc>
        <w:tc>
          <w:tcPr>
            <w:tcW w:w="2790" w:type="dxa"/>
            <w:vMerge/>
          </w:tcPr>
          <w:p w14:paraId="152F1608" w14:textId="77777777" w:rsidR="007710D9" w:rsidRDefault="007710D9" w:rsidP="005F2304"/>
        </w:tc>
        <w:tc>
          <w:tcPr>
            <w:tcW w:w="2790" w:type="dxa"/>
          </w:tcPr>
          <w:p w14:paraId="179855AE" w14:textId="78FCAFE2" w:rsidR="007710D9" w:rsidRDefault="007710D9" w:rsidP="005F2304">
            <w:r>
              <w:t>MS Teams Training-</w:t>
            </w:r>
          </w:p>
          <w:p w14:paraId="4A1BA48A" w14:textId="77777777" w:rsidR="007710D9" w:rsidRDefault="007710D9" w:rsidP="005F2304">
            <w:r>
              <w:t xml:space="preserve">Teachers (1hr) </w:t>
            </w:r>
          </w:p>
          <w:p w14:paraId="4A6CFDA2" w14:textId="2184220B" w:rsidR="007710D9" w:rsidRDefault="007710D9" w:rsidP="005F2304">
            <w:r>
              <w:t xml:space="preserve">(Staff Meeting time) </w:t>
            </w:r>
          </w:p>
        </w:tc>
        <w:tc>
          <w:tcPr>
            <w:tcW w:w="2790" w:type="dxa"/>
            <w:vMerge/>
          </w:tcPr>
          <w:p w14:paraId="524B09B1" w14:textId="77777777" w:rsidR="007710D9" w:rsidRDefault="007710D9" w:rsidP="005F2304"/>
        </w:tc>
      </w:tr>
      <w:tr w:rsidR="004D03E7" w14:paraId="7FA3F8A2" w14:textId="77777777" w:rsidTr="004D03E7">
        <w:tc>
          <w:tcPr>
            <w:tcW w:w="2789" w:type="dxa"/>
          </w:tcPr>
          <w:p w14:paraId="409DF3EA" w14:textId="6E5974A1" w:rsidR="004D03E7" w:rsidRDefault="00EB51EE" w:rsidP="005F2304">
            <w:r>
              <w:t>Purchase / renewal of resources to enable rapid catch up in reading.</w:t>
            </w:r>
          </w:p>
          <w:p w14:paraId="33A8FE78" w14:textId="77777777" w:rsidR="00EB51EE" w:rsidRDefault="00EB51EE" w:rsidP="005F2304"/>
          <w:p w14:paraId="0909ED27" w14:textId="78DC39F9" w:rsidR="00EB51EE" w:rsidRDefault="00EB51EE" w:rsidP="005F2304"/>
        </w:tc>
        <w:tc>
          <w:tcPr>
            <w:tcW w:w="2789" w:type="dxa"/>
          </w:tcPr>
          <w:p w14:paraId="5CDBA41E" w14:textId="77777777" w:rsidR="004D03E7" w:rsidRDefault="004D03E7" w:rsidP="005F2304"/>
        </w:tc>
        <w:tc>
          <w:tcPr>
            <w:tcW w:w="2790" w:type="dxa"/>
          </w:tcPr>
          <w:p w14:paraId="05D8353C" w14:textId="77777777" w:rsidR="004D03E7" w:rsidRDefault="007710D9" w:rsidP="005F2304">
            <w:pPr>
              <w:rPr>
                <w:i/>
                <w:iCs/>
              </w:rPr>
            </w:pPr>
            <w:r>
              <w:rPr>
                <w:i/>
                <w:iCs/>
              </w:rPr>
              <w:t>School data from 2018-19 indicating a need to boost reading provision in school.</w:t>
            </w:r>
          </w:p>
          <w:p w14:paraId="6B12D9BF" w14:textId="2324970B" w:rsidR="007710D9" w:rsidRDefault="007710D9" w:rsidP="005F2304">
            <w:pPr>
              <w:rPr>
                <w:i/>
                <w:iCs/>
              </w:rPr>
            </w:pPr>
            <w:r>
              <w:rPr>
                <w:i/>
                <w:iCs/>
              </w:rPr>
              <w:t>(resulting in improvements last year – teacher assessments).</w:t>
            </w:r>
          </w:p>
          <w:p w14:paraId="4DC3488D" w14:textId="77777777" w:rsidR="007710D9" w:rsidRDefault="007710D9" w:rsidP="005F2304">
            <w:pPr>
              <w:rPr>
                <w:i/>
                <w:iCs/>
              </w:rPr>
            </w:pPr>
          </w:p>
          <w:p w14:paraId="4C38F42A" w14:textId="77777777" w:rsidR="007710D9" w:rsidRDefault="007710D9" w:rsidP="005F2304">
            <w:pPr>
              <w:rPr>
                <w:i/>
                <w:iCs/>
              </w:rPr>
            </w:pPr>
            <w:r>
              <w:rPr>
                <w:i/>
                <w:iCs/>
              </w:rPr>
              <w:t>This was exacerbated during closure by the disruption of new reading routines, along with difficulties in maintaining home reading, in a COVID safe way.  More books / Reading plus renewal needed to maintain reading strategies that were previously proven to be having an impact.</w:t>
            </w:r>
          </w:p>
          <w:p w14:paraId="71340084" w14:textId="6A72ABE2" w:rsidR="007710D9" w:rsidRPr="007710D9" w:rsidRDefault="007710D9" w:rsidP="005F2304">
            <w:pPr>
              <w:rPr>
                <w:i/>
                <w:iCs/>
              </w:rPr>
            </w:pPr>
          </w:p>
        </w:tc>
        <w:tc>
          <w:tcPr>
            <w:tcW w:w="2790" w:type="dxa"/>
          </w:tcPr>
          <w:p w14:paraId="2714D9C1" w14:textId="77777777" w:rsidR="004D03E7" w:rsidRDefault="00EB51EE" w:rsidP="005F2304">
            <w:r>
              <w:t>KS2 Reading Scheme – Pandora Books</w:t>
            </w:r>
          </w:p>
          <w:p w14:paraId="408866CE" w14:textId="73D70E8C" w:rsidR="00EB51EE" w:rsidRDefault="00EB51EE" w:rsidP="005F2304">
            <w:r>
              <w:t>£</w:t>
            </w:r>
            <w:r w:rsidR="00E168EA">
              <w:t>29</w:t>
            </w:r>
            <w:r>
              <w:t>00</w:t>
            </w:r>
          </w:p>
          <w:p w14:paraId="6DE181FC" w14:textId="77777777" w:rsidR="00BA78E6" w:rsidRDefault="00BA78E6" w:rsidP="005F2304"/>
          <w:p w14:paraId="6BF61DDC" w14:textId="77777777" w:rsidR="00BA78E6" w:rsidRDefault="00BA78E6" w:rsidP="005F2304">
            <w:r>
              <w:t>Renewal of Reading Plus for 3</w:t>
            </w:r>
            <w:r w:rsidRPr="00BA78E6">
              <w:rPr>
                <w:vertAlign w:val="superscript"/>
              </w:rPr>
              <w:t>rd</w:t>
            </w:r>
            <w:r>
              <w:t xml:space="preserve"> year</w:t>
            </w:r>
          </w:p>
          <w:p w14:paraId="6374D169" w14:textId="3D4A8815" w:rsidR="00BA78E6" w:rsidRDefault="00BA78E6" w:rsidP="005F2304">
            <w:r>
              <w:t>£</w:t>
            </w:r>
            <w:r w:rsidR="00E168EA">
              <w:t>37</w:t>
            </w:r>
            <w:r>
              <w:t>00</w:t>
            </w:r>
          </w:p>
          <w:p w14:paraId="62694D4D" w14:textId="7CC77C94" w:rsidR="00E168EA" w:rsidRDefault="00E168EA" w:rsidP="005F2304"/>
          <w:p w14:paraId="0C033267" w14:textId="77777777" w:rsidR="00E168EA" w:rsidRDefault="00E168EA" w:rsidP="005F2304"/>
          <w:p w14:paraId="7304BE30" w14:textId="5BE46147" w:rsidR="00BA78E6" w:rsidRDefault="00BA78E6" w:rsidP="005F2304"/>
        </w:tc>
        <w:tc>
          <w:tcPr>
            <w:tcW w:w="2790" w:type="dxa"/>
          </w:tcPr>
          <w:p w14:paraId="1801298E" w14:textId="77777777" w:rsidR="004D03E7" w:rsidRDefault="004D03E7" w:rsidP="005F2304"/>
        </w:tc>
      </w:tr>
      <w:tr w:rsidR="004D03E7" w14:paraId="3108E236" w14:textId="77777777" w:rsidTr="004D03E7">
        <w:tc>
          <w:tcPr>
            <w:tcW w:w="2789" w:type="dxa"/>
          </w:tcPr>
          <w:p w14:paraId="4C16C999" w14:textId="77777777" w:rsidR="004D03E7" w:rsidRDefault="00EB51EE" w:rsidP="005F2304">
            <w:r>
              <w:t>Purchase of resources to consolidate learning in Maths, addressing gaps from previous year.</w:t>
            </w:r>
          </w:p>
          <w:p w14:paraId="50866D11" w14:textId="7BC1924F" w:rsidR="00EB51EE" w:rsidRDefault="00EB51EE" w:rsidP="005F2304"/>
        </w:tc>
        <w:tc>
          <w:tcPr>
            <w:tcW w:w="2789" w:type="dxa"/>
          </w:tcPr>
          <w:p w14:paraId="1BA3F262" w14:textId="237CFD78" w:rsidR="00BA78E6" w:rsidRDefault="00BA78E6" w:rsidP="005F2304">
            <w:r>
              <w:t>- All families to receive these additional workbooks to address gaps in learning</w:t>
            </w:r>
            <w:r w:rsidR="00566759">
              <w:t>, during Summer term, 2021</w:t>
            </w:r>
            <w:r>
              <w:t>.</w:t>
            </w:r>
          </w:p>
          <w:p w14:paraId="26358769" w14:textId="53CE5569" w:rsidR="004D03E7" w:rsidRDefault="00BA78E6" w:rsidP="005F2304">
            <w:r>
              <w:t xml:space="preserve">- All children to complete workbooks at home and in class (alongside classwork), </w:t>
            </w:r>
            <w:r>
              <w:lastRenderedPageBreak/>
              <w:t>to consolidate gaps from previous year.</w:t>
            </w:r>
          </w:p>
          <w:p w14:paraId="6A3F016A" w14:textId="77777777" w:rsidR="00BA78E6" w:rsidRDefault="00566759" w:rsidP="005F2304">
            <w:r>
              <w:t>-Teaching assistants will provide intervention to children as required.</w:t>
            </w:r>
          </w:p>
          <w:p w14:paraId="5012F5B9" w14:textId="3A870E5E" w:rsidR="00566759" w:rsidRDefault="00566759" w:rsidP="005F2304"/>
        </w:tc>
        <w:tc>
          <w:tcPr>
            <w:tcW w:w="2790" w:type="dxa"/>
          </w:tcPr>
          <w:p w14:paraId="1D6421F6" w14:textId="50BBA705" w:rsidR="00566759" w:rsidRPr="00566759" w:rsidRDefault="00566759" w:rsidP="005F2304">
            <w:pPr>
              <w:rPr>
                <w:b/>
                <w:bCs/>
              </w:rPr>
            </w:pPr>
            <w:r w:rsidRPr="00566759">
              <w:rPr>
                <w:b/>
                <w:bCs/>
              </w:rPr>
              <w:lastRenderedPageBreak/>
              <w:t>-School Data / Context</w:t>
            </w:r>
          </w:p>
          <w:p w14:paraId="79126869" w14:textId="4992BCDC" w:rsidR="004D03E7" w:rsidRPr="009A3ACF" w:rsidRDefault="009A3ACF" w:rsidP="005F2304">
            <w:pPr>
              <w:rPr>
                <w:i/>
                <w:iCs/>
              </w:rPr>
            </w:pPr>
            <w:r w:rsidRPr="009A3ACF">
              <w:rPr>
                <w:i/>
                <w:iCs/>
              </w:rPr>
              <w:t>During Summer Term, children received home learning to ensure Maths provision continued.</w:t>
            </w:r>
          </w:p>
          <w:p w14:paraId="72DFA7D8" w14:textId="77777777" w:rsidR="009A3ACF" w:rsidRPr="009A3ACF" w:rsidRDefault="009A3ACF" w:rsidP="005F2304">
            <w:pPr>
              <w:rPr>
                <w:i/>
                <w:iCs/>
              </w:rPr>
            </w:pPr>
          </w:p>
          <w:p w14:paraId="60116685" w14:textId="1DECCB3B" w:rsidR="009A3ACF" w:rsidRPr="009A3ACF" w:rsidRDefault="009A3ACF" w:rsidP="005F2304">
            <w:pPr>
              <w:rPr>
                <w:i/>
                <w:iCs/>
              </w:rPr>
            </w:pPr>
            <w:r w:rsidRPr="009A3ACF">
              <w:rPr>
                <w:i/>
                <w:iCs/>
              </w:rPr>
              <w:t>To consolidate this learning</w:t>
            </w:r>
            <w:r>
              <w:rPr>
                <w:i/>
                <w:iCs/>
              </w:rPr>
              <w:t>, from identified ‘gaps’</w:t>
            </w:r>
            <w:r w:rsidRPr="009A3ACF">
              <w:rPr>
                <w:i/>
                <w:iCs/>
              </w:rPr>
              <w:t xml:space="preserve"> (</w:t>
            </w:r>
            <w:r>
              <w:rPr>
                <w:i/>
                <w:iCs/>
              </w:rPr>
              <w:t xml:space="preserve">from </w:t>
            </w:r>
            <w:r>
              <w:rPr>
                <w:i/>
                <w:iCs/>
              </w:rPr>
              <w:lastRenderedPageBreak/>
              <w:t>initial assessments)</w:t>
            </w:r>
            <w:r w:rsidRPr="009A3ACF">
              <w:rPr>
                <w:i/>
                <w:iCs/>
              </w:rPr>
              <w:t>, additional resources to be purchased and interventions delivered.</w:t>
            </w:r>
          </w:p>
          <w:p w14:paraId="02699E2A" w14:textId="64A9C5AD" w:rsidR="009A3ACF" w:rsidRDefault="009A3ACF" w:rsidP="005F2304"/>
        </w:tc>
        <w:tc>
          <w:tcPr>
            <w:tcW w:w="2790" w:type="dxa"/>
          </w:tcPr>
          <w:p w14:paraId="1D1D5463" w14:textId="59C8E48A" w:rsidR="00BA78E6" w:rsidRDefault="00BA78E6" w:rsidP="005F2304">
            <w:r>
              <w:lastRenderedPageBreak/>
              <w:t xml:space="preserve">White Rose Maths Workbooks - Summer </w:t>
            </w:r>
          </w:p>
          <w:p w14:paraId="264BFC14" w14:textId="0AF46F75" w:rsidR="00BA78E6" w:rsidRDefault="00BA78E6" w:rsidP="005F2304">
            <w:r>
              <w:t>£3600 (£600 per year group, from Y1-6)</w:t>
            </w:r>
          </w:p>
          <w:p w14:paraId="5E648F81" w14:textId="71CF4FEB" w:rsidR="00BA78E6" w:rsidRDefault="00BA78E6" w:rsidP="005F2304"/>
          <w:p w14:paraId="3939EA33" w14:textId="1A586E28" w:rsidR="00BA78E6" w:rsidRDefault="00BA78E6" w:rsidP="005F2304">
            <w:r>
              <w:t>*to be purchased in Summer Term, when available.</w:t>
            </w:r>
          </w:p>
          <w:p w14:paraId="28E57093" w14:textId="4C1256DF" w:rsidR="00BA78E6" w:rsidRDefault="00BA78E6" w:rsidP="005F2304"/>
        </w:tc>
        <w:tc>
          <w:tcPr>
            <w:tcW w:w="2790" w:type="dxa"/>
          </w:tcPr>
          <w:p w14:paraId="051C7D8B" w14:textId="77777777" w:rsidR="004D03E7" w:rsidRDefault="004D03E7" w:rsidP="005F2304"/>
        </w:tc>
      </w:tr>
      <w:tr w:rsidR="004D03E7" w14:paraId="1FE20223" w14:textId="77777777" w:rsidTr="004D03E7">
        <w:tc>
          <w:tcPr>
            <w:tcW w:w="2789" w:type="dxa"/>
          </w:tcPr>
          <w:p w14:paraId="282C2BD2" w14:textId="77777777" w:rsidR="004D03E7" w:rsidRDefault="00EB51EE" w:rsidP="005F2304">
            <w:r>
              <w:t>Enrolment in the national tutoring programme for identified pupils.</w:t>
            </w:r>
          </w:p>
          <w:p w14:paraId="3CDB0B9B" w14:textId="3CC68D6C" w:rsidR="00EB51EE" w:rsidRDefault="00EB51EE" w:rsidP="005F2304"/>
        </w:tc>
        <w:tc>
          <w:tcPr>
            <w:tcW w:w="2789" w:type="dxa"/>
          </w:tcPr>
          <w:p w14:paraId="74333002" w14:textId="77777777" w:rsidR="004D03E7" w:rsidRDefault="00566759" w:rsidP="005F2304">
            <w:r>
              <w:t xml:space="preserve">-Pupils identified during Autumn term, using </w:t>
            </w:r>
            <w:r w:rsidR="00694853">
              <w:t>diagnostic assessments, as well as earlier NFER assessments.</w:t>
            </w:r>
          </w:p>
          <w:p w14:paraId="75BE4EFA" w14:textId="77777777" w:rsidR="00694853" w:rsidRDefault="00694853" w:rsidP="005F2304">
            <w:r>
              <w:t>-Liaise with National Tutoring Programme provide</w:t>
            </w:r>
            <w:r w:rsidR="00865579">
              <w:t>r</w:t>
            </w:r>
            <w:r>
              <w:t xml:space="preserve"> in Au</w:t>
            </w:r>
            <w:r w:rsidR="00865579">
              <w:t>tumn.</w:t>
            </w:r>
          </w:p>
          <w:p w14:paraId="3A5918EB" w14:textId="71DB3783" w:rsidR="00865579" w:rsidRDefault="00865579" w:rsidP="005F2304">
            <w:r>
              <w:t>-Begin programme of tutoring for identified children in Spring term.</w:t>
            </w:r>
          </w:p>
        </w:tc>
        <w:tc>
          <w:tcPr>
            <w:tcW w:w="2790" w:type="dxa"/>
          </w:tcPr>
          <w:p w14:paraId="6B8ADED0" w14:textId="77777777" w:rsidR="00566759" w:rsidRPr="00566759" w:rsidRDefault="00566759" w:rsidP="005F2304">
            <w:pPr>
              <w:rPr>
                <w:b/>
                <w:bCs/>
                <w:u w:val="single"/>
              </w:rPr>
            </w:pPr>
            <w:r w:rsidRPr="00566759">
              <w:rPr>
                <w:b/>
                <w:bCs/>
                <w:u w:val="single"/>
              </w:rPr>
              <w:t>EEF (Targeted Academic Support)</w:t>
            </w:r>
          </w:p>
          <w:p w14:paraId="071DC086" w14:textId="0FB6D6C3" w:rsidR="004D03E7" w:rsidRDefault="00566759" w:rsidP="005F2304">
            <w:r>
              <w:t xml:space="preserve">‘The evidence indicates that small group and one to one </w:t>
            </w:r>
            <w:r w:rsidR="00865579">
              <w:t>intervention</w:t>
            </w:r>
            <w:r>
              <w:t xml:space="preserve"> can be a powerful tool for supporting pupils. High-quality teaching should reduce the need for extra support, but it is likely that some pupils will require high quality, structured, targeted interventions to make progress.’</w:t>
            </w:r>
          </w:p>
        </w:tc>
        <w:tc>
          <w:tcPr>
            <w:tcW w:w="2790" w:type="dxa"/>
          </w:tcPr>
          <w:p w14:paraId="3471942B" w14:textId="12768201" w:rsidR="004D03E7" w:rsidRDefault="008817F4" w:rsidP="005F2304">
            <w:r>
              <w:t>£4000-£6000</w:t>
            </w:r>
          </w:p>
          <w:p w14:paraId="1B6F7D4B" w14:textId="09DB12EC" w:rsidR="008817F4" w:rsidRDefault="008817F4" w:rsidP="005F2304"/>
        </w:tc>
        <w:tc>
          <w:tcPr>
            <w:tcW w:w="2790" w:type="dxa"/>
          </w:tcPr>
          <w:p w14:paraId="1F266AF5" w14:textId="77777777" w:rsidR="004D03E7" w:rsidRDefault="004D03E7" w:rsidP="005F2304"/>
        </w:tc>
      </w:tr>
      <w:tr w:rsidR="004D03E7" w14:paraId="19A166CA" w14:textId="77777777" w:rsidTr="004D03E7">
        <w:tc>
          <w:tcPr>
            <w:tcW w:w="2789" w:type="dxa"/>
          </w:tcPr>
          <w:p w14:paraId="1D2E46CE" w14:textId="4873A12A" w:rsidR="004D03E7" w:rsidRDefault="00EB51EE" w:rsidP="005F2304">
            <w:r>
              <w:t>Provision of pastoral support</w:t>
            </w:r>
            <w:r w:rsidR="00BA78E6">
              <w:t xml:space="preserve"> / resources</w:t>
            </w:r>
            <w:r>
              <w:t xml:space="preserve"> throughout the year, for identified pupils.</w:t>
            </w:r>
          </w:p>
          <w:p w14:paraId="3C78B6FB" w14:textId="506A6840" w:rsidR="00EB51EE" w:rsidRDefault="00EB51EE" w:rsidP="005F2304"/>
        </w:tc>
        <w:tc>
          <w:tcPr>
            <w:tcW w:w="2789" w:type="dxa"/>
          </w:tcPr>
          <w:p w14:paraId="33E370A3" w14:textId="77777777" w:rsidR="004D03E7" w:rsidRDefault="00865579" w:rsidP="005F2304">
            <w:r>
              <w:t xml:space="preserve">-Continue to develop the PSHE </w:t>
            </w:r>
            <w:r w:rsidR="009B70F8">
              <w:t>provision within school, resourcing additional mindfulness sessions.</w:t>
            </w:r>
          </w:p>
          <w:p w14:paraId="3766A5C2" w14:textId="77777777" w:rsidR="009B70F8" w:rsidRDefault="009B70F8" w:rsidP="005F2304"/>
          <w:p w14:paraId="7E1092D9" w14:textId="60615D1C" w:rsidR="009B70F8" w:rsidRDefault="009B70F8" w:rsidP="005F2304">
            <w:r>
              <w:t>-Utilise a further member of staff in a pastoral capacity, to provide support, post-Covid.</w:t>
            </w:r>
          </w:p>
        </w:tc>
        <w:tc>
          <w:tcPr>
            <w:tcW w:w="2790" w:type="dxa"/>
          </w:tcPr>
          <w:p w14:paraId="18EA53B2" w14:textId="6F6E63F2" w:rsidR="00566759" w:rsidRPr="00566759" w:rsidRDefault="00566759" w:rsidP="005F2304">
            <w:pPr>
              <w:rPr>
                <w:b/>
                <w:bCs/>
                <w:u w:val="single"/>
              </w:rPr>
            </w:pPr>
            <w:r w:rsidRPr="00566759">
              <w:rPr>
                <w:b/>
                <w:bCs/>
                <w:u w:val="single"/>
              </w:rPr>
              <w:t>EEF (Supporting Pupils’ Social and behavioural needs)</w:t>
            </w:r>
          </w:p>
          <w:p w14:paraId="5CDE7C9A" w14:textId="5031933C" w:rsidR="004D03E7" w:rsidRDefault="00566759" w:rsidP="005F2304">
            <w:r>
              <w:t>‘Providing support for pupils’ social, emotional and behavioural needs. Understandably, the impact of Covid-19 closures means many schools are revisiting their approach.’</w:t>
            </w:r>
          </w:p>
        </w:tc>
        <w:tc>
          <w:tcPr>
            <w:tcW w:w="2790" w:type="dxa"/>
          </w:tcPr>
          <w:p w14:paraId="1CFF2D29" w14:textId="77777777" w:rsidR="004D03E7" w:rsidRDefault="008817F4" w:rsidP="005F2304">
            <w:r>
              <w:t>Jigsaw for additional year groups</w:t>
            </w:r>
          </w:p>
          <w:p w14:paraId="07BE9203" w14:textId="77777777" w:rsidR="008817F4" w:rsidRDefault="008817F4" w:rsidP="005F2304">
            <w:r>
              <w:t>£1000</w:t>
            </w:r>
          </w:p>
          <w:p w14:paraId="146899D6" w14:textId="77777777" w:rsidR="008817F4" w:rsidRDefault="008817F4" w:rsidP="005F2304"/>
          <w:p w14:paraId="4838DB22" w14:textId="77777777" w:rsidR="008817F4" w:rsidRDefault="008817F4" w:rsidP="005F2304">
            <w:r>
              <w:t>Additional Pastoral Support</w:t>
            </w:r>
          </w:p>
          <w:p w14:paraId="5E5EFDD4" w14:textId="451E8A6C" w:rsidR="008817F4" w:rsidRDefault="008817F4" w:rsidP="005F2304">
            <w:r>
              <w:t>£2000</w:t>
            </w:r>
          </w:p>
        </w:tc>
        <w:tc>
          <w:tcPr>
            <w:tcW w:w="2790" w:type="dxa"/>
          </w:tcPr>
          <w:p w14:paraId="7D3C9EB4" w14:textId="77777777" w:rsidR="004D03E7" w:rsidRDefault="004D03E7" w:rsidP="005F2304"/>
        </w:tc>
      </w:tr>
    </w:tbl>
    <w:p w14:paraId="2BC32FE2" w14:textId="77777777" w:rsidR="004D03E7" w:rsidRPr="005F2304" w:rsidRDefault="004D03E7" w:rsidP="005F2304"/>
    <w:sectPr w:rsidR="004D03E7" w:rsidRPr="005F2304" w:rsidSect="005F230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04"/>
    <w:rsid w:val="0017003F"/>
    <w:rsid w:val="004D03E7"/>
    <w:rsid w:val="00541D19"/>
    <w:rsid w:val="00566759"/>
    <w:rsid w:val="00576BD8"/>
    <w:rsid w:val="005F2304"/>
    <w:rsid w:val="00694853"/>
    <w:rsid w:val="007710D9"/>
    <w:rsid w:val="00865579"/>
    <w:rsid w:val="008817F4"/>
    <w:rsid w:val="009A3ACF"/>
    <w:rsid w:val="009B70F8"/>
    <w:rsid w:val="00BA78E6"/>
    <w:rsid w:val="00D51547"/>
    <w:rsid w:val="00E168EA"/>
    <w:rsid w:val="00EB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5227"/>
  <w15:chartTrackingRefBased/>
  <w15:docId w15:val="{F16611DC-2A71-4FD4-8FED-CE0D7DB9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Mugan</dc:creator>
  <cp:keywords/>
  <dc:description/>
  <cp:lastModifiedBy>Ryan Mugan</cp:lastModifiedBy>
  <cp:revision>2</cp:revision>
  <dcterms:created xsi:type="dcterms:W3CDTF">2021-01-15T09:42:00Z</dcterms:created>
  <dcterms:modified xsi:type="dcterms:W3CDTF">2021-01-15T09:42:00Z</dcterms:modified>
</cp:coreProperties>
</file>